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24D0">
      <w:pPr>
        <w:pStyle w:val="printredaction-line"/>
        <w:divId w:val="278992946"/>
        <w:rPr>
          <w:rFonts w:ascii="Georgia" w:hAnsi="Georgia"/>
        </w:rPr>
      </w:pPr>
      <w:r>
        <w:rPr>
          <w:rFonts w:ascii="Georgia" w:hAnsi="Georgia"/>
        </w:rPr>
        <w:t>Редакция от 22 окт 2015</w:t>
      </w:r>
    </w:p>
    <w:p w:rsidR="00000000" w:rsidRDefault="002824D0">
      <w:pPr>
        <w:divId w:val="20726571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09.01.2014 № 10</w:t>
      </w:r>
    </w:p>
    <w:p w:rsidR="00000000" w:rsidRDefault="002824D0">
      <w:pPr>
        <w:pStyle w:val="2"/>
        <w:divId w:val="278992946"/>
        <w:rPr>
          <w:rFonts w:ascii="Georgia" w:eastAsia="Times New Roman" w:hAnsi="Georgia"/>
        </w:rPr>
      </w:pPr>
      <w:bookmarkStart w:id="0" w:name="_GoBack"/>
      <w:r>
        <w:rPr>
          <w:rFonts w:ascii="Georgia" w:eastAsia="Times New Roman" w:hAnsi="Georgia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>
        <w:rPr>
          <w:rFonts w:ascii="Georgia" w:eastAsia="Times New Roman" w:hAnsi="Georgia"/>
        </w:rPr>
        <w:t>и и оценки подарка, реализации (выкупа) и зачисления средств, вырученных от его реализации</w:t>
      </w:r>
      <w:bookmarkEnd w:id="0"/>
    </w:p>
    <w:p w:rsidR="00000000" w:rsidRDefault="002824D0">
      <w:pPr>
        <w:divId w:val="211505219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Наименование в редакции, введенной в действие с 22 октября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" w:anchor="/document/99/420308133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постановлением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Правительства Российской Федерации от 12 октября 2015 года № 1089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" w:anchor="/document/99/420308470/ZA02DLK3EL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2824D0">
      <w:pPr>
        <w:divId w:val="2549460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Правительство Российской Федераци</w:t>
      </w:r>
      <w:r>
        <w:rPr>
          <w:rFonts w:ascii="Georgia" w:eastAsia="Times New Roman" w:hAnsi="Georgia"/>
        </w:rPr>
        <w:t>и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прилагаемое </w:t>
      </w:r>
      <w:hyperlink r:id="rId7" w:anchor="/document/99/499069148/XA00LVS2MC/" w:tgtFrame="_self" w:history="1">
        <w:r>
          <w:rPr>
            <w:rStyle w:val="a4"/>
            <w:rFonts w:ascii="Georgia" w:hAnsi="Georgia"/>
          </w:rPr>
          <w:t>Типовое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</w:t>
        </w:r>
        <w:r>
          <w:rPr>
            <w:rStyle w:val="a4"/>
            <w:rFonts w:ascii="Georgia" w:hAnsi="Georgia"/>
          </w:rPr>
          <w:t>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2. Установить, что федеральные государственные органы осуществляют пр</w:t>
      </w:r>
      <w:r>
        <w:rPr>
          <w:rFonts w:ascii="Georgia" w:hAnsi="Georgia"/>
        </w:rPr>
        <w:t>ием подарков, полученных лицами, замещающими государственные должности Российской Федерации, и федеральными государственными служащими в связи с протокольными мероприятиями, служебными командировками и другими официальными мероприятиями, их оценку для прин</w:t>
      </w:r>
      <w:r>
        <w:rPr>
          <w:rFonts w:ascii="Georgia" w:hAnsi="Georgia"/>
        </w:rPr>
        <w:t>ятия к бухгалтерскому учету, а также принимают решения о реализации указанных подарков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3. Реализация полномочий, предусмотренных настоящим постановлением, осуществляется в пределах установленной предельной численности федеральных государственных служащих</w:t>
      </w:r>
      <w:r>
        <w:rPr>
          <w:rFonts w:ascii="Georgia" w:hAnsi="Georgia"/>
        </w:rPr>
        <w:t>, а также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</w:t>
      </w:r>
      <w:r>
        <w:rPr>
          <w:rFonts w:ascii="Georgia" w:hAnsi="Georgia"/>
        </w:rPr>
        <w:t>.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4. Министерству труда и социальной защиты Российской Федерации давать разъяснения по вопр</w:t>
      </w:r>
      <w:r>
        <w:rPr>
          <w:rFonts w:ascii="Georgia" w:hAnsi="Georgia"/>
        </w:rPr>
        <w:t>осам, связанным с применением настоящего постановления</w:t>
      </w:r>
      <w:r>
        <w:rPr>
          <w:rFonts w:ascii="Georgia" w:hAnsi="Georgia"/>
        </w:rPr>
        <w:t>.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 xml:space="preserve">5. Федеральным органам исполнительной власти, руководство деятельностью которых осуществляет Правительство Российской Федерации, разработать и </w:t>
      </w:r>
      <w:r>
        <w:rPr>
          <w:rFonts w:ascii="Georgia" w:hAnsi="Georgia"/>
        </w:rPr>
        <w:lastRenderedPageBreak/>
        <w:t>утвердить порядок сообщения о получении лицами, замещающи</w:t>
      </w:r>
      <w:r>
        <w:rPr>
          <w:rFonts w:ascii="Georgia" w:hAnsi="Georgia"/>
        </w:rPr>
        <w:t>ми государственные должности Российской Федерации, и федеральными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</w:t>
      </w:r>
      <w:r>
        <w:rPr>
          <w:rFonts w:ascii="Georgia" w:hAnsi="Georgia"/>
        </w:rPr>
        <w:t>х (должностных) обязанностей, его сдачи, оценки и реализации (выкупа) на основании Типового положения, утвержденного настоящим постановлением, и</w:t>
      </w:r>
      <w:r>
        <w:rPr>
          <w:rFonts w:ascii="Georgia" w:hAnsi="Georgia"/>
        </w:rPr>
        <w:t xml:space="preserve"> </w:t>
      </w:r>
      <w:hyperlink r:id="rId8" w:anchor="/document/99/420308134/XA00M6G2N3/" w:history="1">
        <w:r>
          <w:rPr>
            <w:rStyle w:val="a4"/>
            <w:rFonts w:ascii="Georgia" w:hAnsi="Georgia"/>
          </w:rPr>
          <w:t>постановления Правительства Росс</w:t>
        </w:r>
        <w:r>
          <w:rPr>
            <w:rStyle w:val="a4"/>
            <w:rFonts w:ascii="Georgia" w:hAnsi="Georgia"/>
          </w:rPr>
          <w:t>ийской Федерации от 12 октября 2015 года № 1088 "Об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Федерации, на котор</w:t>
        </w:r>
        <w:r>
          <w:rPr>
            <w:rStyle w:val="a4"/>
            <w:rFonts w:ascii="Georgia" w:hAnsi="Georgia"/>
          </w:rPr>
          <w:t xml:space="preserve">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Правительство </w:t>
        </w:r>
        <w:r>
          <w:rPr>
            <w:rStyle w:val="a4"/>
            <w:rFonts w:ascii="Georgia" w:hAnsi="Georgia"/>
          </w:rPr>
          <w:t xml:space="preserve">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выполнением </w:t>
        </w:r>
        <w:r>
          <w:rPr>
            <w:rStyle w:val="a4"/>
            <w:rFonts w:ascii="Georgia" w:hAnsi="Georgia"/>
          </w:rPr>
          <w:t>ими служебных (должностных) обязанностей, а также сдачи подарка, подачи заявления о его выкупе, рассмотрения вопросов об использовании подарка".</w:t>
        </w:r>
      </w:hyperlink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6. Рекомендовать федеральным государственным органам, органам государственной власти субъектов Российской Фед</w:t>
      </w:r>
      <w:r>
        <w:rPr>
          <w:rFonts w:ascii="Georgia" w:hAnsi="Georgia"/>
        </w:rPr>
        <w:t>ерации и органам местного самоуправления, Центральному банку Российской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</w:t>
      </w:r>
      <w:r>
        <w:rPr>
          <w:rFonts w:ascii="Georgia" w:hAnsi="Georgia"/>
        </w:rPr>
        <w:t xml:space="preserve">ми органами,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</w:t>
      </w:r>
      <w:r>
        <w:rPr>
          <w:rFonts w:ascii="Georgia" w:hAnsi="Georgia"/>
        </w:rPr>
        <w:t>его сдачи, оценки и реализации (выкупа) на основании Типового положения, утвержденного настоящим постановлением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2824D0">
      <w:pPr>
        <w:spacing w:after="223"/>
        <w:divId w:val="1024864689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2824D0">
      <w:pPr>
        <w:pStyle w:val="align-right"/>
        <w:divId w:val="193011559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9 января 2014 года</w:t>
      </w:r>
      <w:r>
        <w:rPr>
          <w:rFonts w:ascii="Helvetica" w:hAnsi="Helvetica" w:cs="Helvetica"/>
          <w:sz w:val="20"/>
          <w:szCs w:val="20"/>
        </w:rPr>
        <w:t xml:space="preserve"> № 10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Style w:val="btn"/>
          <w:rFonts w:ascii="Helvetica" w:hAnsi="Helvetica" w:cs="Helvetica"/>
          <w:vanish/>
          <w:sz w:val="20"/>
          <w:szCs w:val="20"/>
        </w:rPr>
        <w:t>2</w:t>
      </w:r>
      <w:r>
        <w:rPr>
          <w:rStyle w:val="btn"/>
          <w:rFonts w:ascii="Helvetica" w:hAnsi="Helvetica" w:cs="Helvetica"/>
          <w:vanish/>
          <w:sz w:val="20"/>
          <w:szCs w:val="20"/>
        </w:rPr>
        <w:t>3</w:t>
      </w:r>
    </w:p>
    <w:p w:rsidR="00000000" w:rsidRDefault="002824D0">
      <w:pPr>
        <w:divId w:val="17344975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Типовое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обязанностей, сдаче и оценке подарка, реализации (выкупе) и зачислении средств, вырученных от его реализации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*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5</w:t>
      </w:r>
    </w:p>
    <w:p w:rsidR="00000000" w:rsidRDefault="002824D0">
      <w:pPr>
        <w:divId w:val="73705058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Наименование в редакции, введенной в действие с 22 октября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9" w:anchor="/document/99/420308133/XA00M3A2MS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12 октября 2015 года № 1089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0" w:anchor="/document/99/420308470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    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lastRenderedPageBreak/>
        <w:t>1. Настоящее Типовое положение определяет порядок сообщения лицами, замещающими государственные (муниципальные) должности, государственными (муниципальными) служащими, служащими Центрального банка Российской Федерации, работниками Пенсионно</w:t>
      </w:r>
      <w:r>
        <w:rPr>
          <w:rFonts w:ascii="Georgia" w:hAnsi="Georgia"/>
        </w:rPr>
        <w:t>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созданных</w:t>
      </w:r>
      <w:r>
        <w:rPr>
          <w:rFonts w:ascii="Georgia" w:hAnsi="Georgia"/>
        </w:rPr>
        <w:t xml:space="preserve"> для выполнения задач, поставленных перед федеральными государственными органами (далее соответственно - лица, замещающие государственные (муниципальные) должности, служащие, работники), о получении подарка в связи с протокольными мероприятиями, служебными</w:t>
      </w:r>
      <w:r>
        <w:rPr>
          <w:rFonts w:ascii="Georgia" w:hAnsi="Georgia"/>
        </w:rPr>
        <w:t xml:space="preserve">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</w:t>
      </w:r>
      <w:r>
        <w:rPr>
          <w:rFonts w:ascii="Georgia" w:hAnsi="Georgia"/>
        </w:rPr>
        <w:t>о реализации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2. Для целей настоящего Типового положения используются следующие понятия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</w:t>
      </w:r>
      <w:r>
        <w:rPr>
          <w:rFonts w:ascii="Georgia" w:hAnsi="Georgia"/>
        </w:rPr>
        <w:t xml:space="preserve"> государственную (муниципальную)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</w:t>
      </w:r>
      <w:r>
        <w:rPr>
          <w:rFonts w:ascii="Georgia" w:hAnsi="Georgia"/>
        </w:rPr>
        <w:t>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</w:t>
      </w:r>
      <w:r>
        <w:rPr>
          <w:rFonts w:ascii="Georgia" w:hAnsi="Georgia"/>
        </w:rPr>
        <w:t>ков, которые вручены в качестве поощрения (награды)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</w:t>
      </w:r>
      <w:r>
        <w:rPr>
          <w:rFonts w:ascii="Georgia" w:hAnsi="Georgia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</w:t>
      </w:r>
      <w:r>
        <w:rPr>
          <w:rFonts w:ascii="Georgia" w:hAnsi="Georgia"/>
        </w:rPr>
        <w:t>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</w:t>
      </w:r>
      <w:r>
        <w:rPr>
          <w:rFonts w:ascii="Georgia" w:hAnsi="Georgia"/>
        </w:rPr>
        <w:t>ти указанных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</w:t>
      </w:r>
      <w:r>
        <w:rPr>
          <w:rFonts w:ascii="Georgia" w:hAnsi="Georgia"/>
        </w:rPr>
        <w:t>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4. Лица, замещающие государств</w:t>
      </w:r>
      <w:r>
        <w:rPr>
          <w:rFonts w:ascii="Georgia" w:hAnsi="Georgia"/>
        </w:rPr>
        <w:t xml:space="preserve">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</w:t>
      </w:r>
      <w:r>
        <w:rPr>
          <w:rFonts w:ascii="Georgia" w:hAnsi="Georgia"/>
        </w:rPr>
        <w:lastRenderedPageBreak/>
        <w:t>протокольными мероприятиями, служебными командировками и другими официальными меро</w:t>
      </w:r>
      <w:r>
        <w:rPr>
          <w:rFonts w:ascii="Georgia" w:hAnsi="Georgia"/>
        </w:rPr>
        <w:t>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</w:t>
      </w:r>
      <w:r>
        <w:rPr>
          <w:rFonts w:ascii="Georgia" w:hAnsi="Georgia"/>
        </w:rPr>
        <w:t>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5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</w:t>
      </w:r>
      <w:r>
        <w:rPr>
          <w:rFonts w:ascii="Georgia" w:hAnsi="Georgia"/>
        </w:rPr>
        <w:t xml:space="preserve">мление), составленное согласно </w:t>
      </w:r>
      <w:hyperlink r:id="rId11" w:anchor="/document/99/499069148/XA00M902N2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, представляется не позднее 3 рабочих дней со дня получения подарка в уполномоченное структурное подразделение (уполномоченны</w:t>
      </w:r>
      <w:r>
        <w:rPr>
          <w:rFonts w:ascii="Georgia" w:hAnsi="Georgia"/>
        </w:rPr>
        <w:t>е орган или организацию)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(муниципальную) службу или осуществляют трудову</w:t>
      </w:r>
      <w:r>
        <w:rPr>
          <w:rFonts w:ascii="Georgia" w:hAnsi="Georgia"/>
        </w:rPr>
        <w:t>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</w:t>
      </w:r>
      <w:r>
        <w:rPr>
          <w:rFonts w:ascii="Georgia" w:hAnsi="Georgia"/>
        </w:rPr>
        <w:t>ии) подарка)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невозможности подачи уведомления в сроки, указ</w:t>
      </w:r>
      <w:r>
        <w:rPr>
          <w:rFonts w:ascii="Georgia" w:hAnsi="Georgia"/>
        </w:rPr>
        <w:t>анные в абзацах первом и втором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</w:t>
      </w:r>
      <w:r>
        <w:rPr>
          <w:rFonts w:ascii="Georgia" w:hAnsi="Georgia"/>
        </w:rPr>
        <w:t>.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 xml:space="preserve">6. Уведомление составляется </w:t>
      </w:r>
      <w:r>
        <w:rPr>
          <w:rFonts w:ascii="Georgia" w:hAnsi="Georgia"/>
        </w:rPr>
        <w:t>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</w:t>
      </w:r>
      <w:r>
        <w:rPr>
          <w:rFonts w:ascii="Georgia" w:hAnsi="Georgia"/>
        </w:rPr>
        <w:t>рган фонда или иной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9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7. Подарок, стоимость которого подтверждается документами и пре</w:t>
      </w:r>
      <w:r>
        <w:rPr>
          <w:rFonts w:ascii="Georgia" w:hAnsi="Georgia"/>
        </w:rPr>
        <w:t>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</w:t>
      </w:r>
      <w:r>
        <w:rPr>
          <w:rFonts w:ascii="Georgia" w:hAnsi="Georgia"/>
        </w:rPr>
        <w:t>редачи не позднее 5 рабочих дней со дня регистрации уведомления в соответствующем журнале регистрации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8. Подарок, полученный лицом, замещающим государственную (муниципальную) должность, независимо от его стоимости, подлежит передаче на хранение в порядке</w:t>
      </w:r>
      <w:r>
        <w:rPr>
          <w:rFonts w:ascii="Georgia" w:hAnsi="Georgia"/>
        </w:rPr>
        <w:t xml:space="preserve">, предусмотренном </w:t>
      </w:r>
      <w:hyperlink r:id="rId12" w:anchor="/document/99/499069148/XA00M6C2MG/" w:tgtFrame="_self" w:history="1">
        <w:r>
          <w:rPr>
            <w:rStyle w:val="a4"/>
            <w:rFonts w:ascii="Georgia" w:hAnsi="Georgia"/>
          </w:rPr>
          <w:t>пунктом 7 настоящего Типового положения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lastRenderedPageBreak/>
        <w:t>10. В целях принятия к бухгалтерскому учету подарка в порядке, устано</w:t>
      </w:r>
      <w:r>
        <w:rPr>
          <w:rFonts w:ascii="Georgia" w:hAnsi="Georgia"/>
        </w:rPr>
        <w:t>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</w:t>
      </w:r>
      <w:r>
        <w:rPr>
          <w:rFonts w:ascii="Georgia" w:hAnsi="Georgia"/>
        </w:rPr>
        <w:t xml:space="preserve">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</w:t>
      </w:r>
      <w:r>
        <w:rPr>
          <w:rFonts w:ascii="Georgia" w:hAnsi="Georgia"/>
        </w:rPr>
        <w:t>не превышает 3 тыс. рублей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 xml:space="preserve"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rFonts w:ascii="Georgia" w:hAnsi="Georgia"/>
        </w:rPr>
        <w:t>федерального имущества или соответствующий реестр субъекта Российской Федерации (реестр муниципального образования)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3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 xml:space="preserve">12. Лицо, замещающее государственную (муниципальную) должность, служащий, работник, сдавшие подарок, могут его выкупить, направив на </w:t>
      </w:r>
      <w:r>
        <w:rPr>
          <w:rFonts w:ascii="Georgia" w:hAnsi="Georgia"/>
        </w:rPr>
        <w:t>имя представителя нанимателя (работодателя) соответствующее заявление не позднее двух месяцев со дня сдачи подарка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 xml:space="preserve">13.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r:id="rId13" w:anchor="/document/99/499069148/XA00M9K2N6/" w:tgtFrame="_self" w:history="1">
        <w:r>
          <w:rPr>
            <w:rStyle w:val="a4"/>
            <w:rFonts w:ascii="Georgia" w:hAnsi="Georgia"/>
          </w:rPr>
          <w:t>пункте 12 настоящег</w:t>
        </w:r>
        <w:r>
          <w:rPr>
            <w:rStyle w:val="a4"/>
            <w:rFonts w:ascii="Georgia" w:hAnsi="Georgia"/>
          </w:rPr>
          <w:t>о Типового положения</w:t>
        </w:r>
      </w:hyperlink>
      <w:r>
        <w:rPr>
          <w:rFonts w:ascii="Georgia" w:hAnsi="Georgia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</w:t>
      </w:r>
      <w:r>
        <w:rPr>
          <w:rFonts w:ascii="Georgia" w:hAnsi="Georgia"/>
        </w:rPr>
        <w:t>оимости или отказывается от выкупа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 xml:space="preserve">13.1.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r:id="rId14" w:anchor="/document/99/499069148/XA00M9K2N6/" w:tgtFrame="_self" w:history="1">
        <w:r>
          <w:rPr>
            <w:rStyle w:val="a4"/>
            <w:rFonts w:ascii="Georgia" w:hAnsi="Georgia"/>
          </w:rPr>
          <w:t>пункте 12 настоящего Типового положения</w:t>
        </w:r>
      </w:hyperlink>
      <w:r>
        <w:rPr>
          <w:rFonts w:ascii="Georgia" w:hAnsi="Georgia"/>
        </w:rPr>
        <w:t>, либо в случае отказа указанных лиц от выкупа такого подарка подарок, изготовленный из драгоценных металлов и (или) драгоценных ка</w:t>
      </w:r>
      <w:r>
        <w:rPr>
          <w:rFonts w:ascii="Georgia" w:hAnsi="Georgia"/>
        </w:rPr>
        <w:t>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</w:t>
      </w:r>
      <w:r>
        <w:rPr>
          <w:rFonts w:ascii="Georgia" w:hAnsi="Georgia"/>
        </w:rPr>
        <w:t>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 xml:space="preserve">14. Подарок, в отношении которого не поступило заявление, указанное в </w:t>
      </w:r>
      <w:hyperlink r:id="rId15" w:anchor="/document/99/499069148/XA00M9K2N6/" w:tgtFrame="_self" w:history="1">
        <w:r>
          <w:rPr>
            <w:rStyle w:val="a4"/>
            <w:rFonts w:ascii="Georgia" w:hAnsi="Georgia"/>
          </w:rPr>
          <w:t>пункте 12 настоящего Типового положения</w:t>
        </w:r>
      </w:hyperlink>
      <w:r>
        <w:rPr>
          <w:rFonts w:ascii="Georgia" w:hAnsi="Georgia"/>
        </w:rPr>
        <w:t>, может использоваться государственным (муниципальн</w:t>
      </w:r>
      <w:r>
        <w:rPr>
          <w:rFonts w:ascii="Georgia" w:hAnsi="Georgia"/>
        </w:rPr>
        <w:t>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организации</w:t>
      </w:r>
      <w:r>
        <w:rPr>
          <w:rFonts w:ascii="Georgia" w:hAnsi="Georgia"/>
        </w:rPr>
        <w:t>.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15. В случае нецеле</w:t>
      </w:r>
      <w:r>
        <w:rPr>
          <w:rFonts w:ascii="Georgia" w:hAnsi="Georgia"/>
        </w:rPr>
        <w:t>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</w:t>
      </w:r>
      <w:r>
        <w:rPr>
          <w:rFonts w:ascii="Georgia" w:hAnsi="Georgia"/>
        </w:rPr>
        <w:t xml:space="preserve">ственными </w:t>
      </w:r>
      <w:r>
        <w:rPr>
          <w:rFonts w:ascii="Georgia" w:hAnsi="Georgia"/>
        </w:rPr>
        <w:lastRenderedPageBreak/>
        <w:t>(муниципальными) органами и организациями посредством проведения торгов в порядке, предусмотренном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 xml:space="preserve">16. Оценка стоимости подарка для реализации (выкупа), предусмотренная </w:t>
      </w:r>
      <w:hyperlink r:id="rId16" w:anchor="/document/99/499069148/XA00MA62N9/" w:tgtFrame="_self" w:history="1">
        <w:r>
          <w:rPr>
            <w:rStyle w:val="a4"/>
            <w:rFonts w:ascii="Georgia" w:hAnsi="Georgia"/>
          </w:rPr>
          <w:t>пунктами 13</w:t>
        </w:r>
      </w:hyperlink>
      <w:r>
        <w:rPr>
          <w:rFonts w:ascii="Georgia" w:hAnsi="Georgia"/>
        </w:rPr>
        <w:t xml:space="preserve"> и </w:t>
      </w:r>
      <w:hyperlink r:id="rId17" w:anchor="/document/99/499069148/XA00M6A2MF/" w:tgtFrame="_self" w:history="1">
        <w:r>
          <w:rPr>
            <w:rStyle w:val="a4"/>
            <w:rFonts w:ascii="Georgia" w:hAnsi="Georgia"/>
          </w:rPr>
          <w:t>15 настоящего Типового положения</w:t>
        </w:r>
      </w:hyperlink>
      <w:r>
        <w:rPr>
          <w:rFonts w:ascii="Georgia" w:hAnsi="Georgia"/>
        </w:rPr>
        <w:t xml:space="preserve">, осуществляется субъектами оценочной деятельности в соответствии </w:t>
      </w:r>
      <w:r>
        <w:rPr>
          <w:rFonts w:ascii="Georgia" w:hAnsi="Georgia"/>
        </w:rPr>
        <w:t>с законодательством Российской Федерации об оценочной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17. 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</w:t>
      </w:r>
      <w:r>
        <w:rPr>
          <w:rFonts w:ascii="Georgia" w:hAnsi="Georgia"/>
        </w:rPr>
        <w:t>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2824D0">
      <w:pPr>
        <w:spacing w:after="223"/>
        <w:jc w:val="both"/>
        <w:divId w:val="254946055"/>
        <w:rPr>
          <w:rFonts w:ascii="Georgia" w:hAnsi="Georgia"/>
        </w:rPr>
      </w:pPr>
      <w:r>
        <w:rPr>
          <w:rFonts w:ascii="Georgia" w:hAnsi="Georgia"/>
        </w:rPr>
        <w:t>18. Средства, вырученные от реализации (выкупа) подарка, зачисляются в доход соответствующего б</w:t>
      </w:r>
      <w:r>
        <w:rPr>
          <w:rFonts w:ascii="Georgia" w:hAnsi="Georgia"/>
        </w:rPr>
        <w:t>юджета в порядке, установленном бюджетным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2824D0">
      <w:pPr>
        <w:pStyle w:val="align-right"/>
        <w:divId w:val="254946055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положению о сообщении</w:t>
      </w:r>
      <w:r>
        <w:rPr>
          <w:rFonts w:ascii="Georgia" w:hAnsi="Georgia"/>
        </w:rPr>
        <w:br/>
      </w:r>
      <w:r>
        <w:rPr>
          <w:rFonts w:ascii="Georgia" w:hAnsi="Georgia"/>
        </w:rPr>
        <w:t>отдельными категориями лиц</w:t>
      </w:r>
      <w:r>
        <w:rPr>
          <w:rFonts w:ascii="Georgia" w:hAnsi="Georgia"/>
        </w:rPr>
        <w:br/>
      </w:r>
      <w:r>
        <w:rPr>
          <w:rFonts w:ascii="Georgia" w:hAnsi="Georgia"/>
        </w:rPr>
        <w:t>о получении подарка</w:t>
      </w:r>
      <w:r>
        <w:rPr>
          <w:rFonts w:ascii="Georgia" w:hAnsi="Georgia"/>
        </w:rPr>
        <w:br/>
      </w:r>
      <w:r>
        <w:rPr>
          <w:rFonts w:ascii="Georgia" w:hAnsi="Georgia"/>
        </w:rPr>
        <w:t>в связи с протокольными мероприятиями,</w:t>
      </w:r>
      <w:r>
        <w:rPr>
          <w:rFonts w:ascii="Georgia" w:hAnsi="Georgia"/>
        </w:rPr>
        <w:br/>
      </w:r>
      <w:r>
        <w:rPr>
          <w:rFonts w:ascii="Georgia" w:hAnsi="Georgia"/>
        </w:rPr>
        <w:t>служебными командировками и другими</w:t>
      </w:r>
      <w:r>
        <w:rPr>
          <w:rFonts w:ascii="Georgia" w:hAnsi="Georgia"/>
        </w:rPr>
        <w:br/>
      </w:r>
      <w:r>
        <w:rPr>
          <w:rFonts w:ascii="Georgia" w:hAnsi="Georgia"/>
        </w:rPr>
        <w:t>официал</w:t>
      </w:r>
      <w:r>
        <w:rPr>
          <w:rFonts w:ascii="Georgia" w:hAnsi="Georgia"/>
        </w:rPr>
        <w:t>ьными мероприятиями,</w:t>
      </w:r>
      <w:r>
        <w:rPr>
          <w:rFonts w:ascii="Georgia" w:hAnsi="Georgia"/>
        </w:rPr>
        <w:br/>
      </w:r>
      <w:r>
        <w:rPr>
          <w:rFonts w:ascii="Georgia" w:hAnsi="Georgia"/>
        </w:rPr>
        <w:t>участие в которых связано с исполнением ими</w:t>
      </w:r>
      <w:r>
        <w:rPr>
          <w:rFonts w:ascii="Georgia" w:hAnsi="Georgia"/>
        </w:rPr>
        <w:br/>
      </w:r>
      <w:r>
        <w:rPr>
          <w:rFonts w:ascii="Georgia" w:hAnsi="Georgia"/>
        </w:rPr>
        <w:t>служебных (должностных) обязанностей,</w:t>
      </w:r>
      <w:r>
        <w:rPr>
          <w:rFonts w:ascii="Georgia" w:hAnsi="Georgia"/>
        </w:rPr>
        <w:br/>
      </w:r>
      <w:r>
        <w:rPr>
          <w:rFonts w:ascii="Georgia" w:hAnsi="Georgia"/>
        </w:rPr>
        <w:t>сдаче и оценке подарка,</w:t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(выкупе)</w:t>
      </w:r>
      <w:r>
        <w:rPr>
          <w:rFonts w:ascii="Georgia" w:hAnsi="Georgia"/>
        </w:rPr>
        <w:br/>
      </w:r>
      <w:r>
        <w:rPr>
          <w:rFonts w:ascii="Georgia" w:hAnsi="Georgia"/>
        </w:rPr>
        <w:t>и зачислении средств,</w:t>
      </w:r>
      <w:r>
        <w:rPr>
          <w:rFonts w:ascii="Georgia" w:hAnsi="Georgia"/>
        </w:rPr>
        <w:br/>
      </w:r>
      <w:r>
        <w:rPr>
          <w:rFonts w:ascii="Georgia" w:hAnsi="Georgia"/>
        </w:rPr>
        <w:t>вырученных от его реализации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(В редакции, </w:t>
      </w:r>
      <w:r>
        <w:rPr>
          <w:rFonts w:ascii="Georgia" w:hAnsi="Georgia"/>
        </w:rPr>
        <w:br/>
      </w:r>
      <w:r>
        <w:rPr>
          <w:rFonts w:ascii="Georgia" w:hAnsi="Georgia"/>
        </w:rPr>
        <w:t>введенной в действие с 22 октября 2015 года</w:t>
      </w:r>
      <w:r>
        <w:rPr>
          <w:rFonts w:ascii="Georgia" w:hAnsi="Georgia"/>
        </w:rPr>
        <w:br/>
      </w:r>
      <w:hyperlink r:id="rId18" w:anchor="/document/99/420308133/XA00M8G2N0/" w:history="1">
        <w:r>
          <w:rPr>
            <w:rStyle w:val="a4"/>
            <w:rFonts w:ascii="Georgia" w:hAnsi="Georgia"/>
          </w:rPr>
          <w:t xml:space="preserve">постановлением Правительства 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 xml:space="preserve">Российской Федерации 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12 октября 2015 года № 1089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br/>
      </w: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19" w:anchor="/document/99/420308470/XA00M902N2/" w:history="1">
        <w:r>
          <w:rPr>
            <w:rStyle w:val="a4"/>
            <w:rFonts w:ascii="Georgia" w:hAnsi="Georgia"/>
          </w:rPr>
          <w:t>предыдущ</w:t>
        </w:r>
        <w:r>
          <w:rPr>
            <w:rStyle w:val="a4"/>
            <w:rFonts w:ascii="Georgia" w:hAnsi="Georgia"/>
          </w:rPr>
          <w:t>ую редакцию</w:t>
        </w:r>
      </w:hyperlink>
      <w:r>
        <w:rPr>
          <w:rFonts w:ascii="Georgia" w:hAnsi="Georgia"/>
        </w:rPr>
        <w:t>)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7</w:t>
      </w:r>
    </w:p>
    <w:p w:rsidR="00000000" w:rsidRDefault="002824D0">
      <w:pPr>
        <w:divId w:val="28161299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Уведомление о получении подарк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51"/>
        <w:gridCol w:w="554"/>
        <w:gridCol w:w="3850"/>
      </w:tblGrid>
      <w:tr w:rsidR="00000000">
        <w:trPr>
          <w:divId w:val="700279652"/>
        </w:trPr>
        <w:tc>
          <w:tcPr>
            <w:tcW w:w="5729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70027965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70027965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 xml:space="preserve">(наименование уполномоченного </w:t>
            </w:r>
          </w:p>
        </w:tc>
      </w:tr>
      <w:tr w:rsidR="00000000">
        <w:trPr>
          <w:divId w:val="70027965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70027965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 xml:space="preserve">структурного подразделения </w:t>
            </w:r>
          </w:p>
        </w:tc>
      </w:tr>
      <w:tr w:rsidR="00000000">
        <w:trPr>
          <w:divId w:val="70027965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70027965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>государственного (муниципального) органа,</w:t>
            </w:r>
          </w:p>
        </w:tc>
      </w:tr>
      <w:tr w:rsidR="00000000">
        <w:trPr>
          <w:divId w:val="70027965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70027965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>фонда или иной организации</w:t>
            </w:r>
            <w:r>
              <w:br/>
            </w:r>
            <w:r>
              <w:t xml:space="preserve">(уполномоченных органа или </w:t>
            </w:r>
            <w:r>
              <w:lastRenderedPageBreak/>
              <w:t>организации)</w:t>
            </w:r>
          </w:p>
        </w:tc>
      </w:tr>
      <w:tr w:rsidR="00000000">
        <w:trPr>
          <w:divId w:val="70027965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от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70027965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700279652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>(ф.и.о., занимаемая должность)</w:t>
            </w:r>
          </w:p>
        </w:tc>
      </w:tr>
    </w:tbl>
    <w:p w:rsidR="00000000" w:rsidRDefault="002824D0">
      <w:pPr>
        <w:pStyle w:val="align-center"/>
        <w:divId w:val="254946055"/>
        <w:rPr>
          <w:rFonts w:ascii="Georgia" w:hAnsi="Georgia"/>
        </w:rPr>
      </w:pPr>
      <w:r>
        <w:rPr>
          <w:rFonts w:ascii="Georgia" w:hAnsi="Georgia"/>
        </w:rPr>
        <w:t xml:space="preserve">Уведомление о получении подарка от "____"__________20__г.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5"/>
        <w:gridCol w:w="1530"/>
        <w:gridCol w:w="6310"/>
      </w:tblGrid>
      <w:tr w:rsidR="00000000">
        <w:trPr>
          <w:divId w:val="1039237053"/>
        </w:trPr>
        <w:tc>
          <w:tcPr>
            <w:tcW w:w="1848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6838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1039237053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     Извещаю о получении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1039237053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>(дата получения)</w:t>
            </w:r>
          </w:p>
        </w:tc>
      </w:tr>
      <w:tr w:rsidR="00000000">
        <w:trPr>
          <w:divId w:val="1039237053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подарка(ов) на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103923705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39"/>
        <w:gridCol w:w="2467"/>
        <w:gridCol w:w="2383"/>
        <w:gridCol w:w="2366"/>
      </w:tblGrid>
      <w:tr w:rsidR="00000000">
        <w:trPr>
          <w:divId w:val="254946055"/>
        </w:trPr>
        <w:tc>
          <w:tcPr>
            <w:tcW w:w="2587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25494605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 xml:space="preserve">Наименование 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 xml:space="preserve">Характеристика подарка, его описание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 xml:space="preserve">Количество предметов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>Стоимость в рублях*</w:t>
            </w:r>
          </w:p>
        </w:tc>
      </w:tr>
      <w:tr w:rsidR="00000000">
        <w:trPr>
          <w:divId w:val="254946055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2549460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2549460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2549460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Итого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</w:tbl>
    <w:p w:rsidR="00000000" w:rsidRDefault="002824D0">
      <w:pPr>
        <w:divId w:val="211998083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Заполняется при наличии документов, подтверждающих стоимость подарка.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"/>
        <w:gridCol w:w="496"/>
        <w:gridCol w:w="396"/>
        <w:gridCol w:w="453"/>
        <w:gridCol w:w="510"/>
        <w:gridCol w:w="450"/>
        <w:gridCol w:w="554"/>
        <w:gridCol w:w="356"/>
        <w:gridCol w:w="306"/>
        <w:gridCol w:w="306"/>
        <w:gridCol w:w="586"/>
        <w:gridCol w:w="720"/>
        <w:gridCol w:w="460"/>
        <w:gridCol w:w="327"/>
        <w:gridCol w:w="396"/>
        <w:gridCol w:w="388"/>
        <w:gridCol w:w="396"/>
        <w:gridCol w:w="388"/>
        <w:gridCol w:w="449"/>
        <w:gridCol w:w="538"/>
        <w:gridCol w:w="327"/>
        <w:gridCol w:w="457"/>
      </w:tblGrid>
      <w:tr w:rsidR="00000000">
        <w:trPr>
          <w:divId w:val="1062755908"/>
        </w:trPr>
        <w:tc>
          <w:tcPr>
            <w:tcW w:w="370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1062755908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Приложение: 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на 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листах.</w:t>
            </w:r>
          </w:p>
        </w:tc>
      </w:tr>
      <w:tr w:rsidR="00000000">
        <w:trPr>
          <w:divId w:val="1062755908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1062755908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Лицо, представившее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г.</w:t>
            </w:r>
          </w:p>
        </w:tc>
      </w:tr>
      <w:tr w:rsidR="00000000">
        <w:trPr>
          <w:divId w:val="1062755908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1062755908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1062755908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Лицо, принявшее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г.</w:t>
            </w:r>
          </w:p>
        </w:tc>
      </w:tr>
      <w:tr w:rsidR="00000000">
        <w:trPr>
          <w:divId w:val="1062755908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lastRenderedPageBreak/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1062755908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Регистрационный номер в журнале регистрации уведомлений </w:t>
            </w:r>
          </w:p>
        </w:tc>
      </w:tr>
      <w:tr w:rsidR="00000000">
        <w:trPr>
          <w:divId w:val="1062755908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1062755908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  <w:tr w:rsidR="00000000">
        <w:trPr>
          <w:divId w:val="106275590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pStyle w:val="formattext"/>
            </w:pPr>
            <w:r>
              <w:t>г.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824D0">
            <w:pPr>
              <w:rPr>
                <w:rFonts w:eastAsia="Times New Roman"/>
              </w:rPr>
            </w:pPr>
          </w:p>
        </w:tc>
      </w:tr>
    </w:tbl>
    <w:p w:rsidR="00000000" w:rsidRDefault="002824D0">
      <w:pPr>
        <w:divId w:val="10804929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13.04.2018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824D0"/>
    <w:rsid w:val="002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82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4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82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4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294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05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68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75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505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0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9808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492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2018-04-16T04:54:00Z</cp:lastPrinted>
  <dcterms:created xsi:type="dcterms:W3CDTF">2018-04-16T05:06:00Z</dcterms:created>
  <dcterms:modified xsi:type="dcterms:W3CDTF">2018-04-16T05:06:00Z</dcterms:modified>
</cp:coreProperties>
</file>